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FE1F"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The College of Health and Life Sciences (HLS) has recently undergone a strategic restructuring and now comprises two schools: the School of Medicine, Pharmacy and Biosciences and the School of Psychology, Clinical and Health Sciences, each led by an Executive Dean. This change provides consistency with the other colleges in the University and offers a flatter and more streamlined approach.</w:t>
      </w:r>
    </w:p>
    <w:p w14:paraId="1448B0A6"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 </w:t>
      </w:r>
    </w:p>
    <w:p w14:paraId="43AD8B6C"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HLS offers a broad range of undergraduate programmes, including well-established on-campus provision in pharmacy, optometry, psychology, audiology and biosciences, alongside newer provision in medicine and nursing. A defining characteristic of the portfolio is its strong emphasis on accredited and professionally recognised programmes, many of which include placement or practice-based components. Teaching is therefore highly applied and skills-intensive, with extensive use of laboratory facilities and clinical simulation, and close alignment with workforce needs, particularly in healthcare and life sciences.</w:t>
      </w:r>
    </w:p>
    <w:p w14:paraId="73CA9422"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 </w:t>
      </w:r>
    </w:p>
    <w:p w14:paraId="3DA1DDC1"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Graduate employment outcomes are strong, reflecting both the professional nature of the programmes and the College’s close engagement with employers. Overall student satisfaction and continuation rates are high, although the scale and intensity of provision bring ongoing challenges in relation to workload, infrastructure, and cost. Alongside its undergraduate offer, the College delivers a growing range of postgraduate, apprenticeship, transnational education and online programmes, which represent an important area for future development and diversification.</w:t>
      </w:r>
    </w:p>
    <w:p w14:paraId="05C50344"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 </w:t>
      </w:r>
    </w:p>
    <w:p w14:paraId="721B0C7C"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The College operates a successful on-site optometry clinic and, in partnership with Specsavers, an audiology service. Development is underway for a Health Hub in the newly acquired Woodcock Street building, which will integrate these services with the on-site dental service, alongside planned pharmacy and GP provision. The Health Hub represents a significant opportunity to enhance clinical education, civic engagement, and partnership working with the NHS, while increasing the University’s visibility and impact in Birmingham.</w:t>
      </w:r>
    </w:p>
    <w:p w14:paraId="12BAE783" w14:textId="77777777"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 </w:t>
      </w:r>
    </w:p>
    <w:p w14:paraId="275046D0" w14:textId="4A1F98D8" w:rsidR="00AA68FB" w:rsidRPr="00A236A4" w:rsidRDefault="00AA68FB" w:rsidP="00AA68FB">
      <w:pPr>
        <w:pStyle w:val="NormalWeb"/>
        <w:spacing w:before="0" w:beforeAutospacing="0" w:after="0" w:afterAutospacing="0"/>
        <w:rPr>
          <w:rFonts w:ascii="Aptos" w:hAnsi="Aptos"/>
          <w:color w:val="000000" w:themeColor="text1"/>
        </w:rPr>
      </w:pPr>
      <w:r w:rsidRPr="00A236A4">
        <w:rPr>
          <w:rFonts w:ascii="Aptos" w:hAnsi="Aptos"/>
          <w:color w:val="000000" w:themeColor="text1"/>
          <w:sz w:val="22"/>
          <w:szCs w:val="22"/>
        </w:rPr>
        <w:t>The College’s research activity is internationally recognised with 100% of our Research Environment, 81.3% of our Impact and 83.2% of our Publications being at least internationally excellent. HLS is ranked 10</w:t>
      </w:r>
      <w:r w:rsidRPr="00A236A4">
        <w:rPr>
          <w:rFonts w:ascii="Aptos" w:hAnsi="Aptos"/>
          <w:color w:val="000000" w:themeColor="text1"/>
          <w:sz w:val="22"/>
          <w:szCs w:val="22"/>
          <w:vertAlign w:val="superscript"/>
        </w:rPr>
        <w:t>th</w:t>
      </w:r>
      <w:r w:rsidRPr="00A236A4">
        <w:rPr>
          <w:rFonts w:ascii="Aptos" w:hAnsi="Aptos"/>
          <w:color w:val="000000" w:themeColor="text1"/>
          <w:sz w:val="22"/>
          <w:szCs w:val="22"/>
        </w:rPr>
        <w:t xml:space="preserve"> for Research Power in the UK for Allied Health Professionals. The research activity is organised around four multidisciplinary themes: cellular and molecular biomedicine; health and disease across the lifespan; clinical and systems neuroscience; and vision, cognition and language. The College hosts two University research institutes: the Aston Institute of Membrane Excellence and the Aston Institute of Health and Neurodevelopment along with three Centres of Excellence: Aston Research Centre for Health in Ageing; Ophthalmic Technology and Devices research Centre, and the Aston Centre of Excellence in Pharmacotherapy Optimisation and Pharmacoepidemiology Research. HLS benefits from strong, long-standing relationships with local NHS trusts that support both teaching and research activity. While research intensity varies across disciplines, the College is well positioned to deliver applied, impact-focused research aligned with healthcare, life sciences, and policy priorities.</w:t>
      </w:r>
    </w:p>
    <w:p w14:paraId="1ABCAD5A" w14:textId="77777777" w:rsidR="00E9760B" w:rsidRPr="00A236A4" w:rsidRDefault="00E9760B">
      <w:pPr>
        <w:rPr>
          <w:color w:val="000000" w:themeColor="text1"/>
        </w:rPr>
      </w:pPr>
    </w:p>
    <w:sectPr w:rsidR="00E9760B" w:rsidRPr="00A236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FB"/>
    <w:rsid w:val="00002762"/>
    <w:rsid w:val="00006A2C"/>
    <w:rsid w:val="00020D77"/>
    <w:rsid w:val="00021E7D"/>
    <w:rsid w:val="00042403"/>
    <w:rsid w:val="000441C8"/>
    <w:rsid w:val="000C7BCA"/>
    <w:rsid w:val="000D2790"/>
    <w:rsid w:val="000D5E21"/>
    <w:rsid w:val="000F7B53"/>
    <w:rsid w:val="00117CD8"/>
    <w:rsid w:val="00120166"/>
    <w:rsid w:val="00122955"/>
    <w:rsid w:val="00127593"/>
    <w:rsid w:val="0015372A"/>
    <w:rsid w:val="00164C6D"/>
    <w:rsid w:val="00166B94"/>
    <w:rsid w:val="001B7907"/>
    <w:rsid w:val="001C395A"/>
    <w:rsid w:val="001D5B8E"/>
    <w:rsid w:val="00252820"/>
    <w:rsid w:val="00260A13"/>
    <w:rsid w:val="00264ED0"/>
    <w:rsid w:val="00275268"/>
    <w:rsid w:val="002A031E"/>
    <w:rsid w:val="002C2E2F"/>
    <w:rsid w:val="0032576B"/>
    <w:rsid w:val="003349F1"/>
    <w:rsid w:val="00346B00"/>
    <w:rsid w:val="003705E0"/>
    <w:rsid w:val="003763C8"/>
    <w:rsid w:val="0038069E"/>
    <w:rsid w:val="003B6B57"/>
    <w:rsid w:val="003B7CDE"/>
    <w:rsid w:val="003C0B01"/>
    <w:rsid w:val="003D186C"/>
    <w:rsid w:val="00410E3F"/>
    <w:rsid w:val="004160B3"/>
    <w:rsid w:val="0043165A"/>
    <w:rsid w:val="004701E8"/>
    <w:rsid w:val="0049687A"/>
    <w:rsid w:val="004A4C5B"/>
    <w:rsid w:val="004C192B"/>
    <w:rsid w:val="004C1B00"/>
    <w:rsid w:val="00503CCB"/>
    <w:rsid w:val="00506C17"/>
    <w:rsid w:val="005111BF"/>
    <w:rsid w:val="00514D37"/>
    <w:rsid w:val="005444AF"/>
    <w:rsid w:val="0059178A"/>
    <w:rsid w:val="005973D4"/>
    <w:rsid w:val="005C5974"/>
    <w:rsid w:val="005D0208"/>
    <w:rsid w:val="005F48F6"/>
    <w:rsid w:val="00602225"/>
    <w:rsid w:val="006063F6"/>
    <w:rsid w:val="00613AF7"/>
    <w:rsid w:val="00624476"/>
    <w:rsid w:val="00630698"/>
    <w:rsid w:val="00632F73"/>
    <w:rsid w:val="0065550E"/>
    <w:rsid w:val="00664E12"/>
    <w:rsid w:val="006737D3"/>
    <w:rsid w:val="00694378"/>
    <w:rsid w:val="006B3673"/>
    <w:rsid w:val="006E0A6A"/>
    <w:rsid w:val="00706938"/>
    <w:rsid w:val="00707F9B"/>
    <w:rsid w:val="007100AB"/>
    <w:rsid w:val="00777B9C"/>
    <w:rsid w:val="007A0407"/>
    <w:rsid w:val="007B6360"/>
    <w:rsid w:val="00813C75"/>
    <w:rsid w:val="0083402C"/>
    <w:rsid w:val="008406E3"/>
    <w:rsid w:val="00870A5F"/>
    <w:rsid w:val="00871B85"/>
    <w:rsid w:val="00886393"/>
    <w:rsid w:val="00890411"/>
    <w:rsid w:val="008B7D14"/>
    <w:rsid w:val="008C74EF"/>
    <w:rsid w:val="008E3051"/>
    <w:rsid w:val="008F7917"/>
    <w:rsid w:val="009166D1"/>
    <w:rsid w:val="009365CF"/>
    <w:rsid w:val="00967CF2"/>
    <w:rsid w:val="009B7338"/>
    <w:rsid w:val="009C4853"/>
    <w:rsid w:val="009F2887"/>
    <w:rsid w:val="009F3087"/>
    <w:rsid w:val="009F3C95"/>
    <w:rsid w:val="00A12497"/>
    <w:rsid w:val="00A12DFF"/>
    <w:rsid w:val="00A218FA"/>
    <w:rsid w:val="00A236A4"/>
    <w:rsid w:val="00A37217"/>
    <w:rsid w:val="00A471D9"/>
    <w:rsid w:val="00A65CD6"/>
    <w:rsid w:val="00A764B5"/>
    <w:rsid w:val="00AA68FB"/>
    <w:rsid w:val="00AB3A58"/>
    <w:rsid w:val="00AB5BF0"/>
    <w:rsid w:val="00AB7B1A"/>
    <w:rsid w:val="00AD0BC4"/>
    <w:rsid w:val="00AD13A5"/>
    <w:rsid w:val="00B30506"/>
    <w:rsid w:val="00B45BCF"/>
    <w:rsid w:val="00B47ACA"/>
    <w:rsid w:val="00B51204"/>
    <w:rsid w:val="00B74545"/>
    <w:rsid w:val="00B804DE"/>
    <w:rsid w:val="00B965E5"/>
    <w:rsid w:val="00BB006D"/>
    <w:rsid w:val="00BD22F9"/>
    <w:rsid w:val="00BE792D"/>
    <w:rsid w:val="00BF6C7A"/>
    <w:rsid w:val="00C10BF7"/>
    <w:rsid w:val="00C22017"/>
    <w:rsid w:val="00C45B36"/>
    <w:rsid w:val="00C463CA"/>
    <w:rsid w:val="00C55649"/>
    <w:rsid w:val="00C658A6"/>
    <w:rsid w:val="00D22BC5"/>
    <w:rsid w:val="00D32687"/>
    <w:rsid w:val="00D74020"/>
    <w:rsid w:val="00D9352B"/>
    <w:rsid w:val="00DB3742"/>
    <w:rsid w:val="00DC1AC5"/>
    <w:rsid w:val="00DF6B13"/>
    <w:rsid w:val="00E0265A"/>
    <w:rsid w:val="00E135B4"/>
    <w:rsid w:val="00E479AE"/>
    <w:rsid w:val="00E9760B"/>
    <w:rsid w:val="00ED4A84"/>
    <w:rsid w:val="00F41DEF"/>
    <w:rsid w:val="00F97ADC"/>
    <w:rsid w:val="00FB3C87"/>
    <w:rsid w:val="00FC3628"/>
    <w:rsid w:val="00FC68B3"/>
    <w:rsid w:val="00FD1672"/>
    <w:rsid w:val="00FE06E2"/>
    <w:rsid w:val="00FE7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32CCC7"/>
  <w15:chartTrackingRefBased/>
  <w15:docId w15:val="{7B4F7DC5-AE87-3045-84E6-909B2341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8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8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8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8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8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8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8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8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8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8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8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8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8FB"/>
    <w:rPr>
      <w:rFonts w:eastAsiaTheme="majorEastAsia" w:cstheme="majorBidi"/>
      <w:color w:val="272727" w:themeColor="text1" w:themeTint="D8"/>
    </w:rPr>
  </w:style>
  <w:style w:type="paragraph" w:styleId="Title">
    <w:name w:val="Title"/>
    <w:basedOn w:val="Normal"/>
    <w:next w:val="Normal"/>
    <w:link w:val="TitleChar"/>
    <w:uiPriority w:val="10"/>
    <w:qFormat/>
    <w:rsid w:val="00AA68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8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8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68FB"/>
    <w:rPr>
      <w:i/>
      <w:iCs/>
      <w:color w:val="404040" w:themeColor="text1" w:themeTint="BF"/>
    </w:rPr>
  </w:style>
  <w:style w:type="paragraph" w:styleId="ListParagraph">
    <w:name w:val="List Paragraph"/>
    <w:basedOn w:val="Normal"/>
    <w:uiPriority w:val="34"/>
    <w:qFormat/>
    <w:rsid w:val="00AA68FB"/>
    <w:pPr>
      <w:ind w:left="720"/>
      <w:contextualSpacing/>
    </w:pPr>
  </w:style>
  <w:style w:type="character" w:styleId="IntenseEmphasis">
    <w:name w:val="Intense Emphasis"/>
    <w:basedOn w:val="DefaultParagraphFont"/>
    <w:uiPriority w:val="21"/>
    <w:qFormat/>
    <w:rsid w:val="00AA68FB"/>
    <w:rPr>
      <w:i/>
      <w:iCs/>
      <w:color w:val="0F4761" w:themeColor="accent1" w:themeShade="BF"/>
    </w:rPr>
  </w:style>
  <w:style w:type="paragraph" w:styleId="IntenseQuote">
    <w:name w:val="Intense Quote"/>
    <w:basedOn w:val="Normal"/>
    <w:next w:val="Normal"/>
    <w:link w:val="IntenseQuoteChar"/>
    <w:uiPriority w:val="30"/>
    <w:qFormat/>
    <w:rsid w:val="00AA6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8FB"/>
    <w:rPr>
      <w:i/>
      <w:iCs/>
      <w:color w:val="0F4761" w:themeColor="accent1" w:themeShade="BF"/>
    </w:rPr>
  </w:style>
  <w:style w:type="character" w:styleId="IntenseReference">
    <w:name w:val="Intense Reference"/>
    <w:basedOn w:val="DefaultParagraphFont"/>
    <w:uiPriority w:val="32"/>
    <w:qFormat/>
    <w:rsid w:val="00AA68FB"/>
    <w:rPr>
      <w:b/>
      <w:bCs/>
      <w:smallCaps/>
      <w:color w:val="0F4761" w:themeColor="accent1" w:themeShade="BF"/>
      <w:spacing w:val="5"/>
    </w:rPr>
  </w:style>
  <w:style w:type="paragraph" w:styleId="NormalWeb">
    <w:name w:val="Normal (Web)"/>
    <w:basedOn w:val="Normal"/>
    <w:uiPriority w:val="99"/>
    <w:semiHidden/>
    <w:unhideWhenUsed/>
    <w:rsid w:val="00AA68FB"/>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457</Words>
  <Characters>2854</Characters>
  <Application>Microsoft Office Word</Application>
  <DocSecurity>0</DocSecurity>
  <Lines>150</Lines>
  <Paragraphs>66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Devitt</dc:creator>
  <cp:keywords/>
  <dc:description/>
  <cp:lastModifiedBy>Andrew Devitt</cp:lastModifiedBy>
  <cp:revision>2</cp:revision>
  <dcterms:created xsi:type="dcterms:W3CDTF">2026-01-04T15:50:00Z</dcterms:created>
  <dcterms:modified xsi:type="dcterms:W3CDTF">2026-01-06T08:52:00Z</dcterms:modified>
</cp:coreProperties>
</file>